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FE" w:rsidRDefault="008B4198" w:rsidP="000E7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F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 плану</w:t>
      </w:r>
      <w:r w:rsidRPr="00C870F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внеурочной деятельности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C870F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в соотвествии с ФГОС НАЧАЛЬНОГО общего образования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для обучающихся 1-4</w:t>
      </w:r>
      <w:r w:rsidRPr="00C870F6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 классов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№6, г. Салехард,</w:t>
      </w:r>
    </w:p>
    <w:p w:rsidR="00C870F6" w:rsidRPr="00C870F6" w:rsidRDefault="00C870F6" w:rsidP="00C870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2023/2024 </w:t>
      </w:r>
      <w:proofErr w:type="gramStart"/>
      <w:r w:rsidRPr="00C87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 год</w:t>
      </w:r>
      <w:proofErr w:type="gramEnd"/>
    </w:p>
    <w:p w:rsidR="00C870F6" w:rsidRPr="00C870F6" w:rsidRDefault="00C870F6" w:rsidP="00C87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70F6" w:rsidRPr="00C870F6" w:rsidRDefault="00C870F6" w:rsidP="00C870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личностных), осуществляемую в формах, отличных от урочной.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Приказ </w:t>
      </w:r>
      <w:proofErr w:type="spellStart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(Зарегистрировано в Минюсте России 05.07.2021 № 64100) - </w:t>
      </w:r>
      <w:hyperlink r:id="rId6" w:history="1">
        <w:r w:rsidRPr="00C870F6">
          <w:rPr>
            <w:rFonts w:ascii="Times New Roman" w:eastAsia="MS Mincho" w:hAnsi="Times New Roman" w:cs="Times New Roman"/>
            <w:color w:val="0563C1"/>
            <w:sz w:val="24"/>
            <w:szCs w:val="24"/>
            <w:u w:val="single"/>
            <w:lang w:eastAsia="ru-RU"/>
          </w:rPr>
          <w:t>http://www.consultant.ru/document/cons_doc_LAW_389561/</w:t>
        </w:r>
      </w:hyperlink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;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Письмо Министерства просвещения Российской Федерации от 05.07.2022г.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России от 17.06.2022 г. № 03-871 «Об организации занятий «Разговоры о важном»;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Методические рекомендации по формированию функциональной грамотности обучающихся – </w:t>
      </w:r>
      <w:hyperlink r:id="rId7" w:history="1">
        <w:r w:rsidRPr="00C870F6">
          <w:rPr>
            <w:rFonts w:ascii="Times New Roman" w:eastAsia="MS Mincho" w:hAnsi="Times New Roman" w:cs="Times New Roman"/>
            <w:color w:val="0563C1"/>
            <w:sz w:val="24"/>
            <w:szCs w:val="24"/>
            <w:u w:val="single"/>
            <w:lang w:eastAsia="ru-RU"/>
          </w:rPr>
          <w:t>http://skiv.instrao.ru/bank-zadaniy/</w:t>
        </w:r>
      </w:hyperlink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;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Допускается формирование учебных групп из обучающихся разных классов в пределах одного уровня образования.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деятельности (до 1320 часов на уровне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начального общего образования): </w:t>
      </w:r>
      <w:r w:rsidRPr="00C870F6">
        <w:rPr>
          <w:rFonts w:ascii="Times New Roman" w:eastAsiaTheme="minorEastAsia" w:hAnsi="Times New Roman" w:cs="Times New Roman"/>
          <w:sz w:val="24"/>
          <w:szCs w:val="24"/>
          <w:lang w:eastAsia="ru-RU"/>
        </w:rPr>
        <w:t>5 обязательных курсов, 5 курсов по выбору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870F6" w:rsidRPr="00C870F6" w:rsidRDefault="00C870F6" w:rsidP="00C870F6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Содержательное наполнение внеурочной деятельности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870F6">
        <w:rPr>
          <w:rFonts w:ascii="Times New Roman" w:eastAsia="MS Mincho" w:hAnsi="Times New Roman" w:cs="Times New Roman"/>
          <w:sz w:val="24"/>
          <w:szCs w:val="24"/>
          <w:lang w:eastAsia="ru-RU"/>
        </w:rPr>
        <w:t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</w:t>
      </w:r>
    </w:p>
    <w:p w:rsidR="00C870F6" w:rsidRPr="00C870F6" w:rsidRDefault="00C870F6" w:rsidP="00C870F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6379"/>
      </w:tblGrid>
      <w:tr w:rsidR="00C870F6" w:rsidRPr="00C870F6" w:rsidTr="00470546">
        <w:trPr>
          <w:jc w:val="center"/>
        </w:trPr>
        <w:tc>
          <w:tcPr>
            <w:tcW w:w="3397" w:type="dxa"/>
          </w:tcPr>
          <w:p w:rsidR="00C870F6" w:rsidRPr="00C870F6" w:rsidRDefault="00C870F6" w:rsidP="0047054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Модель плана внеурочной</w:t>
            </w:r>
          </w:p>
          <w:p w:rsidR="00C870F6" w:rsidRPr="00C870F6" w:rsidRDefault="00C870F6" w:rsidP="00C870F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C870F6" w:rsidRPr="00C870F6" w:rsidRDefault="00C870F6" w:rsidP="00C870F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Содержательное наполнение</w:t>
            </w:r>
            <w:r w:rsidR="004705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C870F6" w:rsidRPr="00C870F6" w:rsidTr="00470546">
        <w:trPr>
          <w:jc w:val="center"/>
        </w:trPr>
        <w:tc>
          <w:tcPr>
            <w:tcW w:w="3397" w:type="dxa"/>
          </w:tcPr>
          <w:p w:rsidR="00C870F6" w:rsidRPr="00C870F6" w:rsidRDefault="00C870F6" w:rsidP="00C870F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Преобладание</w:t>
            </w:r>
          </w:p>
          <w:p w:rsidR="00C870F6" w:rsidRPr="00C870F6" w:rsidRDefault="00C870F6" w:rsidP="00C870F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учебно-познавательной</w:t>
            </w:r>
          </w:p>
          <w:p w:rsidR="00C870F6" w:rsidRPr="00C870F6" w:rsidRDefault="00C870F6" w:rsidP="00C870F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379" w:type="dxa"/>
          </w:tcPr>
          <w:p w:rsidR="00C870F6" w:rsidRPr="00C870F6" w:rsidRDefault="00C870F6" w:rsidP="0047054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занятия обучающихся по углубленному изучению отдельных уч</w:t>
            </w:r>
            <w:r w:rsidR="0047054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ебных предметов (немецкий язык, </w:t>
            </w: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французский язык, японский язык);</w:t>
            </w:r>
          </w:p>
          <w:p w:rsidR="00C870F6" w:rsidRPr="00C870F6" w:rsidRDefault="00C870F6" w:rsidP="0047054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занятия обучающихся по формированию функциональной грамотности;</w:t>
            </w:r>
          </w:p>
          <w:p w:rsidR="00C870F6" w:rsidRPr="00C870F6" w:rsidRDefault="00C870F6" w:rsidP="0047054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занятия обучающихся с педагогами, сопровождающими проектно-исследовательскую деятельность;</w:t>
            </w:r>
          </w:p>
          <w:p w:rsidR="00C870F6" w:rsidRPr="00C870F6" w:rsidRDefault="00C870F6" w:rsidP="0047054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870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занятия обучающихся;</w:t>
            </w:r>
          </w:p>
        </w:tc>
      </w:tr>
    </w:tbl>
    <w:p w:rsidR="00C870F6" w:rsidRPr="00C870F6" w:rsidRDefault="00C870F6" w:rsidP="00C870F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0546" w:rsidRPr="00470546" w:rsidRDefault="00470546" w:rsidP="0047054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Планирование внеурочной деятельности</w:t>
      </w:r>
    </w:p>
    <w:p w:rsidR="00470546" w:rsidRPr="00470546" w:rsidRDefault="00470546" w:rsidP="0047054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 w:rsidRPr="00470546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часть, рекомендуемая для всех обучающихся: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 час в неделю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на информационно-просветительские занятия патриотической, нравственной и экологической направленности 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«Разговоры о важном»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(понедельник, первый урок);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 час в неделю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на занятия по формированию 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функциональной грамотности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обучающихся (в том числе 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финансовой грамотности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);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1 час в неделю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на занятия, направленные на удовлетворение </w:t>
      </w:r>
      <w:proofErr w:type="spellStart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интересов и </w:t>
      </w:r>
      <w:proofErr w:type="gramStart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обучающихся 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«В мире профессий».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Кроме того, в </w:t>
      </w:r>
      <w:r w:rsidRPr="00470546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вариативную часть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плана внеурочной деятельности включены: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(английский и немецкий языки), проектно-исследовательской деятельности, исторического просвещения) – </w:t>
      </w: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3 часа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Русский язык как родной (обучение чтению слабо владеющих русским языком), Информатика, Опыты и эксперименты, Математическая грамотность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часы, связанные с социальными интересами и потребностями учащихся (в том числе в рамках Российского движения школьников, </w:t>
      </w:r>
      <w:proofErr w:type="spellStart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Юнармии</w:t>
      </w:r>
      <w:proofErr w:type="spellEnd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реализации проекта «Россия — страна возможностей») – </w:t>
      </w: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2 часа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470546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 xml:space="preserve">«Школа Юнармейца», Адаптационные игры, </w:t>
      </w:r>
      <w:proofErr w:type="spellStart"/>
      <w:r w:rsidRPr="00470546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Лего</w:t>
      </w:r>
      <w:proofErr w:type="spellEnd"/>
      <w:r w:rsidRPr="00470546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-конструирование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, Математика на шахматной доске, </w:t>
      </w:r>
      <w:proofErr w:type="gramStart"/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мире информации, Конструирование;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часы, отведенные на </w:t>
      </w:r>
      <w:r w:rsidRPr="0047054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спортивные и творческие 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занятия </w:t>
      </w:r>
      <w:r w:rsidRPr="0047054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(школьные театральные студии, музеи, спортивные клубы, деятельность в рамках реализации программы развития социальной активности учащихся начальных классов «Орлята России») </w:t>
      </w:r>
      <w:r w:rsidRPr="00470546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– </w:t>
      </w:r>
      <w:r w:rsidRPr="00470546">
        <w:rPr>
          <w:rFonts w:ascii="Liberation Serif" w:eastAsia="Liberation Serif" w:hAnsi="Liberation Serif" w:cs="Liberation Serif"/>
          <w:i/>
          <w:sz w:val="24"/>
          <w:szCs w:val="24"/>
          <w:lang w:eastAsia="ru-RU"/>
        </w:rPr>
        <w:t>2</w:t>
      </w:r>
      <w:r w:rsidRPr="0047054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часа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Орлята России, Музыкальный театр, Фольклорный ансамбль, Хор юнармейцев, Подвижные игры, Волшебная глина, Система интенсивного развития способностей, Волшебный карандаш, </w:t>
      </w:r>
    </w:p>
    <w:p w:rsidR="00470546" w:rsidRPr="00470546" w:rsidRDefault="00470546" w:rsidP="0047054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 и идеи внеурочной деятельности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Ведущими идеями плана внеурочной деятельности МБОУ СОШ №6 являются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: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создание условий для достижения обучающимися уровня образованности, соответствующего их личностному потенциалу;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ориентация на достижение учениками социальной зрелости;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удовлетворение образовательных потребностей учащихся и их родителей.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При этом решаются следующие</w:t>
      </w: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основные педагогические задачи: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включение учащихся в разностороннюю деятельность;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навыков позитивного коммуникативного общения;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навыков организации и осуществления сотрудничества с педагогами, сверстниками, родителями, старшими детьми в решении общих проблем;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воспитание трудолюбия, способности к преодолению трудностей, целеустремленности и настойчивости в достижении результата; - развитие позитивного отношения к базовым общественным ценностям (человек, семья, Отечество, природа, мир, знания, труд, культура);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формирование стремления к здоровому образу жизни; </w:t>
      </w:r>
    </w:p>
    <w:p w:rsidR="00470546" w:rsidRPr="00470546" w:rsidRDefault="00470546" w:rsidP="0047054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705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подготовка учащихся к активной и полноценной жизнедеятельности в современном мире.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Личностные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готовность и способность к саморазвитию;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основ гражданской идентичности.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Предметные: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получение нового знания и опыта его применения.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proofErr w:type="spellStart"/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: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освоение универсальных учебных действий;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овладение ключевыми компетенциями.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Воспитательный результат внеурочной деятельности</w:t>
      </w: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непосредственное духовно-нравственное приобретение обучающегося благодаря его участию в том или ином виде деятельности.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Все виды внеурочной деятельности учащихся на уровне начального общего образования строго ориентированы на воспитательные результаты.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470546" w:rsidRPr="00470546" w:rsidRDefault="00470546" w:rsidP="00470546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Промежуточная аттестация обучающихся и контроль за посещаемостью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Промежуточная аттестация обучающихся, осваивающих программы внеурочной деятельности, как правило, не проводится. Вместе с тем, реализация программ внеурочной деятельности, направленных на углубленное изучение иностранных языков (немецкого и английского), проводится с балльным оцениванием результатов. Учет результатов внеурочной деятельности осуществляется преподавателем в электронном журнале.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</w:t>
      </w:r>
    </w:p>
    <w:p w:rsidR="00470546" w:rsidRPr="00470546" w:rsidRDefault="00470546" w:rsidP="00470546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Формы внеурочной деятельности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Внеурочная деятельность может быть организована в следующих формах: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экскурсии, посещения музеев, театров, кинотеатров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деятельность ученических сообществ,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клубы по интересам,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-встречи,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ролевые игры,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реализация проектов,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кружки,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- походы и т.п.</w:t>
      </w:r>
    </w:p>
    <w:p w:rsidR="00470546" w:rsidRPr="00470546" w:rsidRDefault="00470546" w:rsidP="00470546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Режим внеурочной деятельности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в 1 классе - 35 минут, во 2-4 классах – 45 минут. Перерыв между занятиями внеурочной деятельности 20 минут.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Расписание внеурочных занятий составляется отдельно от расписания уроков.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Занятия внеурочной деятельности реализуются за счет бюджетного финансирования. </w:t>
      </w:r>
    </w:p>
    <w:p w:rsidR="00470546" w:rsidRPr="00470546" w:rsidRDefault="00470546" w:rsidP="00470546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470546">
        <w:rPr>
          <w:rFonts w:ascii="Times New Roman" w:eastAsia="MS Mincho" w:hAnsi="Times New Roman" w:cs="Times New Roman"/>
          <w:sz w:val="24"/>
          <w:szCs w:val="24"/>
          <w:lang w:eastAsia="ru-RU"/>
        </w:rPr>
        <w:t>В 2023-2024 учебном году внеурочная деятельность реализуется в 1-4 классах, в соответствии с требованиями обновленного ФГОС начального общего образования.</w:t>
      </w:r>
    </w:p>
    <w:p w:rsidR="00C870F6" w:rsidRDefault="00C870F6" w:rsidP="001A682B">
      <w:pPr>
        <w:jc w:val="center"/>
        <w:rPr>
          <w:rFonts w:ascii="Times New Roman" w:hAnsi="Times New Roman" w:cs="Times New Roman"/>
          <w:sz w:val="24"/>
          <w:szCs w:val="24"/>
        </w:rPr>
        <w:sectPr w:rsidR="00C870F6" w:rsidSect="00C870F6">
          <w:pgSz w:w="11900" w:h="16820"/>
          <w:pgMar w:top="1134" w:right="1134" w:bottom="1134" w:left="851" w:header="709" w:footer="709" w:gutter="0"/>
          <w:cols w:space="708"/>
          <w:docGrid w:linePitch="360"/>
        </w:sectPr>
      </w:pPr>
    </w:p>
    <w:p w:rsidR="00D130FF" w:rsidRDefault="00D130FF" w:rsidP="000E7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0FF" w:rsidRDefault="00D130FF" w:rsidP="000E7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977" w:rsidRPr="006E0CF1" w:rsidRDefault="000E7977" w:rsidP="000E79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CF1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0E7977" w:rsidRDefault="000E7977" w:rsidP="000E7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CF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"Средняя общеобразовательная школа №6" </w:t>
      </w:r>
      <w:proofErr w:type="spellStart"/>
      <w:r w:rsidRPr="006E0CF1">
        <w:rPr>
          <w:rFonts w:ascii="Times New Roman" w:hAnsi="Times New Roman" w:cs="Times New Roman"/>
          <w:sz w:val="24"/>
          <w:szCs w:val="24"/>
        </w:rPr>
        <w:t>г.Салехард</w:t>
      </w:r>
      <w:proofErr w:type="spellEnd"/>
    </w:p>
    <w:tbl>
      <w:tblPr>
        <w:tblStyle w:val="ac"/>
        <w:tblW w:w="161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423"/>
        <w:gridCol w:w="424"/>
        <w:gridCol w:w="425"/>
        <w:gridCol w:w="426"/>
        <w:gridCol w:w="425"/>
        <w:gridCol w:w="426"/>
        <w:gridCol w:w="425"/>
        <w:gridCol w:w="428"/>
        <w:gridCol w:w="425"/>
        <w:gridCol w:w="430"/>
        <w:gridCol w:w="568"/>
        <w:gridCol w:w="425"/>
        <w:gridCol w:w="425"/>
        <w:gridCol w:w="426"/>
        <w:gridCol w:w="425"/>
        <w:gridCol w:w="420"/>
        <w:gridCol w:w="430"/>
        <w:gridCol w:w="567"/>
        <w:gridCol w:w="708"/>
        <w:gridCol w:w="567"/>
        <w:gridCol w:w="426"/>
        <w:gridCol w:w="425"/>
        <w:gridCol w:w="426"/>
        <w:gridCol w:w="567"/>
        <w:gridCol w:w="425"/>
        <w:gridCol w:w="567"/>
        <w:gridCol w:w="425"/>
        <w:gridCol w:w="425"/>
        <w:gridCol w:w="425"/>
        <w:gridCol w:w="12"/>
      </w:tblGrid>
      <w:tr w:rsidR="00D130FF" w:rsidRPr="006E0CF1" w:rsidTr="00D130FF">
        <w:tc>
          <w:tcPr>
            <w:tcW w:w="2836" w:type="dxa"/>
            <w:vMerge w:val="restart"/>
            <w:shd w:val="clear" w:color="auto" w:fill="D9D9D9"/>
          </w:tcPr>
          <w:p w:rsidR="000E7977" w:rsidRPr="006E0CF1" w:rsidRDefault="000E7977" w:rsidP="002A0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0E7977" w:rsidRPr="006E0CF1" w:rsidRDefault="000E7977" w:rsidP="002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1" w:type="dxa"/>
            <w:gridSpan w:val="30"/>
            <w:shd w:val="clear" w:color="auto" w:fill="D9D9D9"/>
          </w:tcPr>
          <w:p w:rsidR="000E7977" w:rsidRPr="006E0CF1" w:rsidRDefault="000E7977" w:rsidP="002A0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130FF" w:rsidRPr="00D130FF" w:rsidTr="00D130FF">
        <w:trPr>
          <w:gridAfter w:val="1"/>
          <w:wAfter w:w="12" w:type="dxa"/>
        </w:trPr>
        <w:tc>
          <w:tcPr>
            <w:tcW w:w="2836" w:type="dxa"/>
            <w:vMerge/>
          </w:tcPr>
          <w:p w:rsidR="000E7977" w:rsidRPr="006E0CF1" w:rsidRDefault="000E7977" w:rsidP="002A0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D130FF" w:rsidRDefault="000E7977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D130FF" w:rsidRDefault="000E7977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D130FF" w:rsidRDefault="000E7977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D130FF" w:rsidRDefault="000E7977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2д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3г</w:t>
            </w:r>
          </w:p>
        </w:tc>
        <w:tc>
          <w:tcPr>
            <w:tcW w:w="567" w:type="dxa"/>
            <w:shd w:val="clear" w:color="auto" w:fill="D9D9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5" w:type="dxa"/>
            <w:shd w:val="clear" w:color="auto" w:fill="D9D9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25" w:type="dxa"/>
            <w:shd w:val="clear" w:color="auto" w:fill="D9D9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25" w:type="dxa"/>
            <w:shd w:val="clear" w:color="auto" w:fill="D9D9D9"/>
          </w:tcPr>
          <w:p w:rsidR="000E7977" w:rsidRPr="00D130FF" w:rsidRDefault="000E7977" w:rsidP="002A0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В мире профессий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470546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И</w:t>
            </w:r>
            <w:r w:rsidR="000E7977" w:rsidRPr="00D130FF">
              <w:rPr>
                <w:rFonts w:ascii="Times New Roman" w:hAnsi="Times New Roman" w:cs="Times New Roman"/>
              </w:rPr>
              <w:t>нформатика</w:t>
            </w:r>
            <w:r w:rsidRPr="00D130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470546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Школа юнармейца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proofErr w:type="spellStart"/>
            <w:r w:rsidRPr="00D130FF">
              <w:rPr>
                <w:rFonts w:ascii="Times New Roman" w:hAnsi="Times New Roman" w:cs="Times New Roman"/>
              </w:rPr>
              <w:t>Лего</w:t>
            </w:r>
            <w:proofErr w:type="spellEnd"/>
            <w:r w:rsidRPr="00D130FF">
              <w:rPr>
                <w:rFonts w:ascii="Times New Roman" w:hAnsi="Times New Roman" w:cs="Times New Roman"/>
              </w:rPr>
              <w:t>-конструирование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Математика на шахматной доске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Русский язык как родной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Система интенсивного развития способностей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470546" w:rsidP="00470546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470546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Волшебная глина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2825E9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2825E9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Волшебный карандаш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Хор юнармейцев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0E7977" w:rsidRPr="00D130FF" w:rsidRDefault="000E7977" w:rsidP="002A076D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gridSpan w:val="4"/>
            <w:shd w:val="clear" w:color="auto" w:fill="auto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0E7977" w:rsidRPr="006E0CF1" w:rsidRDefault="000E7977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E962D2" w:rsidRPr="00D130FF" w:rsidRDefault="00E962D2" w:rsidP="002A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425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426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425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428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425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426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425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420" w:type="dxa"/>
            <w:shd w:val="clear" w:color="auto" w:fill="auto"/>
          </w:tcPr>
          <w:p w:rsidR="00E962D2" w:rsidRPr="008E5322" w:rsidRDefault="00E962D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4ч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E962D2" w:rsidRPr="00D130FF" w:rsidRDefault="00E962D2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E962D2" w:rsidRPr="00D130FF" w:rsidRDefault="00E962D2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В мире информации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E962D2" w:rsidRPr="00D130FF" w:rsidRDefault="00E962D2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Адаптационные игры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E962D2" w:rsidRPr="00D130FF" w:rsidRDefault="00E962D2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Опыты и эксперименты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D130FF" w:rsidRPr="00D130FF" w:rsidRDefault="00D130FF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698" w:type="dxa"/>
            <w:gridSpan w:val="4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4"/>
            <w:shd w:val="clear" w:color="auto" w:fill="auto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4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130FF" w:rsidRPr="006E0CF1" w:rsidRDefault="00D130FF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  <w:trHeight w:val="91"/>
        </w:trPr>
        <w:tc>
          <w:tcPr>
            <w:tcW w:w="2836" w:type="dxa"/>
          </w:tcPr>
          <w:p w:rsidR="008E5322" w:rsidRPr="00D130FF" w:rsidRDefault="008E5322" w:rsidP="008E5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8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" w:type="dxa"/>
            <w:shd w:val="clear" w:color="auto" w:fill="auto"/>
          </w:tcPr>
          <w:p w:rsidR="008E5322" w:rsidRPr="008E5322" w:rsidRDefault="008E5322" w:rsidP="008E5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3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322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E5322" w:rsidRPr="006E0CF1" w:rsidRDefault="008E532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0FF" w:rsidRPr="006E0CF1" w:rsidTr="00D130FF">
        <w:trPr>
          <w:gridAfter w:val="1"/>
          <w:wAfter w:w="12" w:type="dxa"/>
        </w:trPr>
        <w:tc>
          <w:tcPr>
            <w:tcW w:w="2836" w:type="dxa"/>
            <w:shd w:val="clear" w:color="auto" w:fill="FFFFFF" w:themeFill="background1"/>
          </w:tcPr>
          <w:p w:rsidR="00E962D2" w:rsidRPr="00D130FF" w:rsidRDefault="00E962D2" w:rsidP="00E962D2">
            <w:pPr>
              <w:rPr>
                <w:rFonts w:ascii="Times New Roman" w:hAnsi="Times New Roman" w:cs="Times New Roman"/>
              </w:rPr>
            </w:pPr>
            <w:r w:rsidRPr="00D130FF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698" w:type="dxa"/>
            <w:gridSpan w:val="4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4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gridSpan w:val="4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gridSpan w:val="4"/>
            <w:shd w:val="clear" w:color="auto" w:fill="FFFFFF" w:themeFill="background1"/>
          </w:tcPr>
          <w:p w:rsidR="00E962D2" w:rsidRPr="006E0CF1" w:rsidRDefault="00E962D2" w:rsidP="008E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962D2" w:rsidRPr="00D130FF" w:rsidRDefault="00E962D2" w:rsidP="008E5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0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E7977" w:rsidRPr="00C81E30" w:rsidRDefault="000E7977">
      <w:pPr>
        <w:rPr>
          <w:rFonts w:ascii="Times New Roman" w:hAnsi="Times New Roman" w:cs="Times New Roman"/>
          <w:sz w:val="24"/>
          <w:szCs w:val="24"/>
        </w:rPr>
      </w:pPr>
    </w:p>
    <w:sectPr w:rsidR="000E7977" w:rsidRPr="00C81E30" w:rsidSect="001D69F9">
      <w:pgSz w:w="16820" w:h="11900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5E1"/>
    <w:multiLevelType w:val="hybridMultilevel"/>
    <w:tmpl w:val="940AACCC"/>
    <w:lvl w:ilvl="0" w:tplc="630AE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65A"/>
    <w:multiLevelType w:val="hybridMultilevel"/>
    <w:tmpl w:val="940AACCC"/>
    <w:lvl w:ilvl="0" w:tplc="630AE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53ED"/>
    <w:multiLevelType w:val="hybridMultilevel"/>
    <w:tmpl w:val="E0826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1E3C57"/>
    <w:multiLevelType w:val="multilevel"/>
    <w:tmpl w:val="1964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41D5"/>
    <w:rsid w:val="000454DE"/>
    <w:rsid w:val="00052FF9"/>
    <w:rsid w:val="000A07A9"/>
    <w:rsid w:val="000C3476"/>
    <w:rsid w:val="000E0A98"/>
    <w:rsid w:val="000E7977"/>
    <w:rsid w:val="000F4598"/>
    <w:rsid w:val="0010613A"/>
    <w:rsid w:val="00112D88"/>
    <w:rsid w:val="00130A9E"/>
    <w:rsid w:val="001440F4"/>
    <w:rsid w:val="0015448F"/>
    <w:rsid w:val="00166A62"/>
    <w:rsid w:val="001A682B"/>
    <w:rsid w:val="001A68E1"/>
    <w:rsid w:val="001A75C4"/>
    <w:rsid w:val="001A779A"/>
    <w:rsid w:val="001B1213"/>
    <w:rsid w:val="001B4302"/>
    <w:rsid w:val="001D69F9"/>
    <w:rsid w:val="002026BE"/>
    <w:rsid w:val="00217E91"/>
    <w:rsid w:val="00226645"/>
    <w:rsid w:val="00270402"/>
    <w:rsid w:val="002825E9"/>
    <w:rsid w:val="002A12FF"/>
    <w:rsid w:val="002A5D25"/>
    <w:rsid w:val="002E245D"/>
    <w:rsid w:val="0030678A"/>
    <w:rsid w:val="0031079C"/>
    <w:rsid w:val="00330DAB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36CA9"/>
    <w:rsid w:val="00443188"/>
    <w:rsid w:val="004457FE"/>
    <w:rsid w:val="00446614"/>
    <w:rsid w:val="004652A1"/>
    <w:rsid w:val="00467EF7"/>
    <w:rsid w:val="00470546"/>
    <w:rsid w:val="00473B54"/>
    <w:rsid w:val="004A5E74"/>
    <w:rsid w:val="004B1542"/>
    <w:rsid w:val="004E028C"/>
    <w:rsid w:val="004E4A78"/>
    <w:rsid w:val="00502D31"/>
    <w:rsid w:val="00543B77"/>
    <w:rsid w:val="00557EFE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1B74"/>
    <w:rsid w:val="00806306"/>
    <w:rsid w:val="0081324A"/>
    <w:rsid w:val="008448FF"/>
    <w:rsid w:val="008506B8"/>
    <w:rsid w:val="008632FA"/>
    <w:rsid w:val="008829BA"/>
    <w:rsid w:val="008B4198"/>
    <w:rsid w:val="008E5322"/>
    <w:rsid w:val="00943325"/>
    <w:rsid w:val="00963708"/>
    <w:rsid w:val="0099304C"/>
    <w:rsid w:val="00994B30"/>
    <w:rsid w:val="00996DF6"/>
    <w:rsid w:val="009B229E"/>
    <w:rsid w:val="009B6A45"/>
    <w:rsid w:val="009F18D3"/>
    <w:rsid w:val="009F4C94"/>
    <w:rsid w:val="00A07A80"/>
    <w:rsid w:val="00A139CB"/>
    <w:rsid w:val="00A227C0"/>
    <w:rsid w:val="00A76A07"/>
    <w:rsid w:val="00A77598"/>
    <w:rsid w:val="00A92C8E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1E30"/>
    <w:rsid w:val="00C870F6"/>
    <w:rsid w:val="00C87860"/>
    <w:rsid w:val="00C91579"/>
    <w:rsid w:val="00CA5D63"/>
    <w:rsid w:val="00CB6C10"/>
    <w:rsid w:val="00D0701D"/>
    <w:rsid w:val="00D07CCC"/>
    <w:rsid w:val="00D130FF"/>
    <w:rsid w:val="00D16267"/>
    <w:rsid w:val="00D213E7"/>
    <w:rsid w:val="00D339A5"/>
    <w:rsid w:val="00D52398"/>
    <w:rsid w:val="00D8488E"/>
    <w:rsid w:val="00D93DD5"/>
    <w:rsid w:val="00D96741"/>
    <w:rsid w:val="00DB1508"/>
    <w:rsid w:val="00DB20CB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62D2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E4FD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34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semiHidden/>
    <w:unhideWhenUsed/>
    <w:rsid w:val="000E0A98"/>
    <w:rPr>
      <w:color w:val="0000FF"/>
      <w:u w:val="single"/>
    </w:rPr>
  </w:style>
  <w:style w:type="character" w:customStyle="1" w:styleId="ab">
    <w:name w:val="Абзац списка Знак"/>
    <w:link w:val="aa"/>
    <w:locked/>
    <w:rsid w:val="000E0A98"/>
  </w:style>
  <w:style w:type="character" w:customStyle="1" w:styleId="ae">
    <w:name w:val="Основной текст_"/>
    <w:basedOn w:val="a0"/>
    <w:link w:val="31"/>
    <w:rsid w:val="000E0A9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Основной текст + Курсив"/>
    <w:basedOn w:val="ae"/>
    <w:rsid w:val="000E0A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e"/>
    <w:rsid w:val="000E0A98"/>
    <w:pPr>
      <w:widowControl w:val="0"/>
      <w:shd w:val="clear" w:color="auto" w:fill="FFFFFF"/>
      <w:spacing w:before="1380" w:after="0" w:line="278" w:lineRule="exac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alibri95pt">
    <w:name w:val="Основной текст + Calibri;9;5 pt"/>
    <w:basedOn w:val="ae"/>
    <w:rsid w:val="00994B3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e"/>
    <w:rsid w:val="00130A9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c"/>
    <w:uiPriority w:val="59"/>
    <w:rsid w:val="00C8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895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BA45-B559-41B0-8A05-73F3AAA1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kab_3</cp:lastModifiedBy>
  <cp:revision>6</cp:revision>
  <cp:lastPrinted>2023-09-06T06:37:00Z</cp:lastPrinted>
  <dcterms:created xsi:type="dcterms:W3CDTF">2023-08-29T07:30:00Z</dcterms:created>
  <dcterms:modified xsi:type="dcterms:W3CDTF">2023-09-06T06:45:00Z</dcterms:modified>
</cp:coreProperties>
</file>